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7189738" name="" hidden="0"/>
                        <pic:cNvPicPr/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8207" cy="63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1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1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1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1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1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1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1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643-т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2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spacing w:before="0" w:after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left"/>
        <w:spacing w:before="0" w:after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762"/>
        <w:jc w:val="left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erif" w:cs="Liberation Sans"/>
          <w:b/>
          <w:bCs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тарифов на тепл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овую энергию (мощность),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производимую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акционерным обществом «Харп-Энерго-Газ»</w:t>
      </w:r>
      <w:r>
        <w:rPr>
          <w:rFonts w:ascii="Liberation Sans" w:hAnsi="Liberation Sans" w:eastAsia="Liberation Serif" w:cs="Liberation Sans"/>
          <w:b/>
          <w:bCs/>
          <w:color w:val="000000"/>
          <w:sz w:val="28"/>
        </w:rPr>
        <w:t xml:space="preserve"> 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color w:val="000000"/>
          <w:sz w:val="28"/>
        </w:rPr>
        <w:t xml:space="preserve">и поставляемую потребителям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поселка городского типа Харп городского округа город Лабытнанги 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и долгосрочных параметров регулирова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ния тарифов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2028 годы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/>
    </w:p>
    <w:p>
      <w:pPr>
        <w:pStyle w:val="762"/>
        <w:jc w:val="both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erif" w:cs="Liberation Sans"/>
          <w:b/>
          <w:bCs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firstLine="709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27 июля 2010 года </w:t>
        <w:br/>
        <w:t xml:space="preserve">№ 190-ФЗ «О теплоснабжении», постановлением Правительства Российской Федерации от 22 октября 2012 года № 1075 </w:t>
        <w:br/>
        <w:t xml:space="preserve">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в сфере теплоснабжения», </w:t>
      </w:r>
      <w:hyperlink r:id="rId9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8"/>
          <w:szCs w:val="28"/>
        </w:rPr>
        <w:t xml:space="preserve"> Ямало-Ненецкого автономного округа от 01 декабря 2014 года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№ 107-ЗАО «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Об установлении отдельных категорий потребителей коммунальных ресурсов и коммунальной услуги по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обращению </w:t>
        <w:br/>
        <w:t xml:space="preserve">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pStyle w:val="76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Установить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 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акционерным обществом «Харп-Энерго-Газ»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 </w:t>
        <w:br/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поселка городского типа Харп городского округа город Лабытнанги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lang w:eastAsia="ru-RU"/>
        </w:rPr>
        <w:t xml:space="preserve">согласно </w:t>
      </w:r>
      <w:hyperlink r:id="rId10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b w:val="0"/>
            <w:bCs w:val="0"/>
            <w:sz w:val="28"/>
            <w:szCs w:val="28"/>
            <w:lang w:eastAsia="ru-RU"/>
          </w:rPr>
          <w:t xml:space="preserve">приложениям №№ 1, 2</w:t>
        </w:r>
      </w:hyperlink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lang w:eastAsia="ru-RU"/>
        </w:rPr>
        <w:t xml:space="preserve">.</w:t>
      </w:r>
      <w:r>
        <w:rPr>
          <w:b w:val="0"/>
          <w:bCs w:val="0"/>
        </w:rPr>
      </w:r>
      <w:r/>
    </w:p>
    <w:p>
      <w:pPr>
        <w:pStyle w:val="762"/>
        <w:contextualSpacing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2. Установить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 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«Харп-Энерго-Газ»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долгосроч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ные </w:t>
      </w:r>
      <w:hyperlink r:id="rId11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улирования тарифов на долгосрочный период регулирования для формирования тарифов с использованием метода индексации установленных тарифов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на 2024 - 2028 годы согласно приложению № 3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2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установленные в пункте 1 настоящего приказа, действуют с 01 января 2024 года по 31 декабря 2028 года.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4. Долгосрочные </w:t>
      </w:r>
      <w:hyperlink r:id="rId13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регулирования тарифов, установленные в пункте 2 настоящего приказа, действуют с 01 января 2024 года по 31 декабря 2028 года.</w:t>
      </w:r>
      <w:r>
        <w:rPr>
          <w:rFonts w:ascii="Liberation Sans" w:hAnsi="Liberation Sans" w:cs="Liberation Sans"/>
        </w:rPr>
      </w:r>
      <w:r/>
    </w:p>
    <w:p>
      <w:pPr>
        <w:ind w:firstLine="0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firstLine="0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numPr>
          <w:ilvl w:val="0"/>
          <w:numId w:val="0"/>
        </w:numPr>
        <w:ind w:left="0" w:firstLine="0"/>
        <w:jc w:val="both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567" w:left="1701" w:header="0" w:footer="0" w:gutter="0"/>
          <w:cols w:num="1" w:sep="0" w:space="1701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>
        <w:rPr>
          <w:rFonts w:ascii="Liberation Sans" w:hAnsi="Liberation Sans" w:cs="Liberation Sans"/>
        </w:rPr>
      </w:r>
      <w:r/>
    </w:p>
    <w:p>
      <w:pPr>
        <w:pStyle w:val="762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1</w:t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643-т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47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«Харп-Энерго-Газ»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 </w:t>
        <w:br/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поселка городского типа Харп городского округа город Лабытнанги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right"/>
        <w:spacing w:before="0" w:after="0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tbl>
      <w:tblPr>
        <w:tblW w:w="5000" w:type="pct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2425"/>
        <w:gridCol w:w="2010"/>
        <w:gridCol w:w="1169"/>
        <w:gridCol w:w="2028"/>
        <w:gridCol w:w="1052"/>
        <w:gridCol w:w="864"/>
        <w:gridCol w:w="1152"/>
        <w:gridCol w:w="981"/>
        <w:gridCol w:w="979"/>
        <w:gridCol w:w="19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vAlign w:val="center"/>
            <w:textDirection w:val="lrTb"/>
            <w:noWrap w:val="false"/>
          </w:tcPr>
          <w:p>
            <w:pPr>
              <w:pStyle w:val="762"/>
              <w:contextualSpacing/>
              <w:jc w:val="center"/>
              <w:spacing w:before="0" w:after="0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Cs/>
                <w:sz w:val="21"/>
                <w:szCs w:val="21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Liberation Sans" w:hAnsi="Liberation Sans" w:cs="Liberation Sans"/>
                <w:bCs/>
                <w:sz w:val="21"/>
                <w:szCs w:val="21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«Харп-Энерго-Газ»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5396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6736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6736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7526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7526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8409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8409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9395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76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762"/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643-т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</w:rPr>
      </w:r>
      <w:r>
        <w:rPr>
          <w:rFonts w:ascii="Liberation Sans" w:hAnsi="Liberation Sans" w:eastAsia="Liberation Serif" w:cs="Liberation Sans"/>
          <w:b w:val="0"/>
          <w:sz w:val="24"/>
        </w:rPr>
        <w:t xml:space="preserve">Льготные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«Харп-Энерго-Газ»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 </w:t>
        <w:br/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поселка городского типа Харп городского округа город Лабытнанги </w:t>
      </w:r>
      <w:r/>
    </w:p>
    <w:p>
      <w:pPr>
        <w:ind w:left="0" w:right="0" w:firstLine="0"/>
        <w:jc w:val="center"/>
        <w:spacing w:before="0" w:after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403"/>
        <w:gridCol w:w="2030"/>
        <w:gridCol w:w="1186"/>
        <w:gridCol w:w="2013"/>
        <w:gridCol w:w="1103"/>
        <w:gridCol w:w="841"/>
        <w:gridCol w:w="1178"/>
        <w:gridCol w:w="1014"/>
        <w:gridCol w:w="923"/>
        <w:gridCol w:w="1868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  <w:highlight w:val="none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  <w:highlight w:val="none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2,5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7,0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</w:pPr>
            <w:r>
              <w:rPr>
                <w:rFonts w:ascii="Liberation Sans" w:hAnsi="Liberation Sans" w:cs="Liberation Sans"/>
                <w:bCs/>
                <w:sz w:val="21"/>
                <w:szCs w:val="21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«Харп-Энерго-Газ»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1768,30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1909,76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 тепловой энергии (мощности), имеющие право на льготы, указанные в </w:t>
      </w:r>
      <w:hyperlink r:id="rId14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пунктах 2- 4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Закона Ямало-Ненецкого автономного округа </w:t>
        <w:br/>
        <w:t xml:space="preserve">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выпадающих доходов ресурсоснабжающим организациям, региональным операторам по обращению </w:t>
        <w:br/>
        <w:t xml:space="preserve">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left="0"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 тепловой энергии (мощности), имеющие право на льготы, указанные в </w:t>
      </w:r>
      <w:hyperlink r:id="rId15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х категорий потребителей коммунальных ресурсов и коммунальной услуги по обращению с твердыми коммунальными отходами, имеющих право на льготы,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компенсации выпадающих доходов ресурсоснабжающим организациям, региональным операторам по обращению </w:t>
        <w:br/>
        <w:t xml:space="preserve">с твердыми ко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pStyle w:val="846"/>
        <w:ind w:left="0" w:right="-172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16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кодекса Российской Федерации (часть вторая). </w:t>
      </w:r>
      <w:r>
        <w:rPr>
          <w:rFonts w:ascii="Liberation Sans" w:hAnsi="Liberation Sans" w:cs="Liberation Sans"/>
        </w:rPr>
      </w:r>
      <w:r/>
    </w:p>
    <w:p>
      <w:pPr>
        <w:pStyle w:val="846"/>
        <w:ind w:left="0"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ния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18"/>
          <w:szCs w:val="18"/>
        </w:rPr>
        <w:tab/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</w:r>
      <w:r>
        <w:rPr>
          <w:rFonts w:ascii="Liberation Sans" w:hAnsi="Liberation Sans" w:cs="Liberation Sans"/>
        </w:rPr>
      </w:r>
      <w:r/>
    </w:p>
    <w:p>
      <w:pPr>
        <w:ind w:left="0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3</w:t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ind w:left="9912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643-т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Долгосрочные </w:t>
      </w:r>
      <w:hyperlink r:id="rId17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регулирования тарифов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устанав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ливаемые на долгосрочный период регулирования </w:t>
      </w:r>
      <w:r>
        <w:rPr>
          <w:rFonts w:ascii="Liberation Sans" w:hAnsi="Liberation Sans" w:cs="Liberation Sans"/>
        </w:rPr>
      </w:r>
      <w:r/>
    </w:p>
    <w:p>
      <w:pPr>
        <w:pStyle w:val="762"/>
        <w:jc w:val="center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для формирования тарифов с использованием метода индексации установленных тарифов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</w:t>
      </w:r>
      <w:r>
        <w:rPr>
          <w:rFonts w:ascii="Liberation Sans" w:hAnsi="Liberation Sans" w:cs="Liberation Sans"/>
          <w:highlight w:val="none"/>
        </w:rPr>
      </w:r>
      <w:r/>
    </w:p>
    <w:p>
      <w:pPr>
        <w:jc w:val="center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«Харп-Энерго-Газ»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на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2024 – 2028 годы</w:t>
      </w:r>
      <w:r/>
    </w:p>
    <w:p>
      <w:pPr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tbl>
      <w:tblPr>
        <w:tblW w:w="5000" w:type="pct"/>
        <w:tblInd w:w="-102" w:type="dxa"/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290"/>
        <w:gridCol w:w="1582"/>
        <w:gridCol w:w="548"/>
        <w:gridCol w:w="1153"/>
        <w:gridCol w:w="1080"/>
        <w:gridCol w:w="1092"/>
        <w:gridCol w:w="1207"/>
        <w:gridCol w:w="1259"/>
        <w:gridCol w:w="1008"/>
        <w:gridCol w:w="1246"/>
        <w:gridCol w:w="1260"/>
        <w:gridCol w:w="1257"/>
        <w:gridCol w:w="1347"/>
        <w:gridCol w:w="807"/>
      </w:tblGrid>
      <w:tr>
        <w:trPr>
          <w:cantSplit/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Наименование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регулируемой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Базовый 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операцион-ных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расходов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Индекс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эффектив-ности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операцион-ных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расходов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Норматив-ный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прибыли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6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Уровень надежности теплоснабжения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hyperlink w:tooltip="#Par29" w:anchor="Par29" w:history="1">
              <w:r>
                <w:rPr>
                  <w:rFonts w:ascii="Liberation Sans" w:hAnsi="Liberation Sans" w:eastAsia="Liberation Serif" w:cs="Liberation Sans"/>
                  <w:strike w:val="0"/>
                  <w:color w:val="000000"/>
                  <w:sz w:val="16"/>
                  <w:szCs w:val="16"/>
                </w:rPr>
                <w:t xml:space="preserve">&lt;*&gt;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</w:rPr>
              <w:t xml:space="preserve">энергетической эффективности </w:t>
            </w:r>
            <w:hyperlink w:tooltip="#Par30" w:anchor="Par30" w:history="1">
              <w:r>
                <w:rPr>
                  <w:rFonts w:ascii="Liberation Sans" w:hAnsi="Liberation Sans" w:eastAsia="Liberation Serif" w:cs="Liberation Sans"/>
                  <w:color w:val="auto"/>
                  <w:sz w:val="16"/>
                  <w:szCs w:val="16"/>
                </w:rPr>
                <w:t xml:space="preserve">&lt;**&gt;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6"/>
                <w:szCs w:val="16"/>
              </w:rPr>
              <w:t xml:space="preserve">Реализация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6"/>
                <w:szCs w:val="16"/>
              </w:rPr>
              <w:t xml:space="preserve">программ в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6"/>
                <w:szCs w:val="16"/>
              </w:rPr>
              <w:t xml:space="preserve">области энергосбереже-ния и повышения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6"/>
                <w:szCs w:val="16"/>
              </w:rPr>
              <w:t xml:space="preserve">энергетической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trike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6"/>
                <w:szCs w:val="16"/>
              </w:rPr>
              <w:t xml:space="preserve">эффективности </w:t>
            </w:r>
            <w:hyperlink w:tooltip="#Par30" w:anchor="Par30" w:history="1">
              <w:r>
                <w:rPr>
                  <w:rFonts w:ascii="Liberation Sans" w:hAnsi="Liberation Sans" w:eastAsia="Liberation Serif" w:cs="Liberation Sans"/>
                  <w:strike w:val="0"/>
                  <w:color w:val="auto"/>
                  <w:sz w:val="16"/>
                  <w:szCs w:val="16"/>
                </w:rPr>
                <w:t xml:space="preserve">&lt;**&gt;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</w:rPr>
              <w:t xml:space="preserve">Динами-ка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</w:rPr>
              <w:t xml:space="preserve">измене-ния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</w:rPr>
              <w:t xml:space="preserve">расходов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</w:rPr>
              <w:t xml:space="preserve">на топливо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color w:val="auto"/>
              </w:rPr>
            </w:r>
            <w:hyperlink w:tooltip="#Par31" w:anchor="Par31" w:history="1">
              <w:r>
                <w:rPr>
                  <w:rFonts w:ascii="Liberation Sans" w:hAnsi="Liberation Sans" w:eastAsia="Liberation Serif" w:cs="Liberation Sans"/>
                  <w:color w:val="auto"/>
                  <w:sz w:val="16"/>
                  <w:szCs w:val="16"/>
                </w:rPr>
                <w:t xml:space="preserve">&lt;***&gt;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2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количество прекращений подачи тепловой энергии, в результате технологичес-ких нарушений на тепловых сетях на 1 км тепловых сетей в целом по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tabs>
                <w:tab w:val="clear" w:pos="708" w:leader="none"/>
                <w:tab w:val="left" w:pos="747" w:leader="none"/>
              </w:tabs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количество прекращений подачи тепловой энергии, в результате технологичес-ких нарушений на источниках тепловой энергии на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tabs>
                <w:tab w:val="clear" w:pos="708" w:leader="none"/>
                <w:tab w:val="left" w:pos="747" w:leader="none"/>
              </w:tabs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1 Гкал/час установленной мощности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4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величина технологичес-ких потерь при передаче тепловой энергии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  <w:highlight w:val="white"/>
              </w:rPr>
              <w:t xml:space="preserve">о</w:t>
            </w: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  <w:highlight w:val="white"/>
              </w:rPr>
              <w:t xml:space="preserve">тношение величины технологичес-ких потерь тепловой энергии к материальной характеристике тепловой сети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trike w:val="0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strike w:val="0"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</w:tr>
      <w:tr>
        <w:trPr>
          <w:cantSplit/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тыс.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руб.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ед/км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ед/(Гкал/час)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кг у.т./Гкал, газ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кг у.т./Гкал,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диз.топливо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Гкал/кв.м.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1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top"/>
            <w:vMerge w:val="restart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1.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0" w:type="dxa"/>
            <w:vAlign w:val="top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Акционерное общество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«Харп-Энерго-Газ»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169 618,53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6,</w:t>
            </w: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151,27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20 801,7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  <w:highlight w:val="yellow"/>
              </w:rPr>
            </w:pPr>
            <w:r>
              <w:rPr>
                <w:rFonts w:ascii="Liberation Sans" w:hAnsi="Liberation Sans" w:cs="Liberation Sans"/>
                <w:sz w:val="20"/>
                <w:szCs w:val="20"/>
                <w:highlight w:val="none"/>
              </w:rPr>
              <w:t xml:space="preserve">2,5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cantSplit/>
          <w:trHeight w:val="9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5,96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151,27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20 801,7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  <w:highlight w:val="none"/>
              </w:rPr>
              <w:t xml:space="preserve">2,5</w:t>
            </w:r>
            <w:r>
              <w:rPr>
                <w:rFonts w:ascii="Liberation Sans" w:hAnsi="Liberation Sans" w:cs="Liberation Sans"/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cantSplit/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6,</w:t>
            </w: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3</w:t>
            </w: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151,27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20 350,8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  <w:highlight w:val="none"/>
              </w:rPr>
              <w:t xml:space="preserve">2,5</w:t>
            </w:r>
            <w:r>
              <w:rPr>
                <w:rFonts w:ascii="Liberation Sans" w:hAnsi="Liberation Sans" w:cs="Liberation Sans"/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cantSplit/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6,5</w:t>
            </w: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151,27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20 </w:t>
            </w: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350</w:t>
            </w: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,</w:t>
            </w: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8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  <w:highlight w:val="none"/>
              </w:rPr>
              <w:t xml:space="preserve">2,5</w:t>
            </w:r>
            <w:r>
              <w:rPr>
                <w:rFonts w:ascii="Liberation Sans" w:hAnsi="Liberation Sans" w:cs="Liberation Sans"/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6,</w:t>
            </w: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29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151,27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Calibri" w:cs="Liberation Sans"/>
                <w:sz w:val="20"/>
                <w:szCs w:val="20"/>
              </w:rPr>
              <w:t xml:space="preserve">20 350,8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  <w:highlight w:val="none"/>
              </w:rPr>
              <w:t xml:space="preserve">2,5</w:t>
            </w:r>
            <w:r>
              <w:rPr>
                <w:rFonts w:ascii="Liberation Sans" w:hAnsi="Liberation Sans" w:cs="Liberation Sans"/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</w:tbl>
    <w:p>
      <w:pPr>
        <w:pStyle w:val="762"/>
        <w:ind w:right="141" w:firstLine="0"/>
        <w:jc w:val="both"/>
        <w:tabs>
          <w:tab w:val="clear" w:pos="708" w:leader="none"/>
          <w:tab w:val="left" w:pos="1587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      </w:t>
      </w:r>
      <w:r>
        <w:rPr>
          <w:rFonts w:ascii="Liberation Sans" w:hAnsi="Liberation Sans" w:eastAsia="Liberation Serif" w:cs="Liberation Sans"/>
          <w:strike w:val="0"/>
          <w:color w:val="000000"/>
        </w:rPr>
        <w:t xml:space="preserve">     </w:t>
      </w:r>
      <w:r>
        <w:rPr>
          <w:rFonts w:ascii="Liberation Sans" w:hAnsi="Liberation Sans" w:eastAsia="Liberation Serif" w:cs="Liberation Sans"/>
          <w:strike w:val="0"/>
          <w:color w:val="000000"/>
        </w:rPr>
        <w:t xml:space="preserve">&lt;*&gt; Уровень надежности теплоснабжения (фактические значения пока</w:t>
      </w:r>
      <w:r>
        <w:rPr>
          <w:rFonts w:ascii="Liberation Sans" w:hAnsi="Liberation Sans" w:eastAsia="Liberation Serif" w:cs="Liberation Sans"/>
          <w:strike w:val="0"/>
          <w:color w:val="000000"/>
        </w:rPr>
        <w:t xml:space="preserve">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 </w:t>
      </w:r>
      <w:r>
        <w:rPr>
          <w:rFonts w:ascii="Liberation Sans" w:hAnsi="Liberation Sans" w:cs="Liberation Sans"/>
        </w:rPr>
      </w:r>
      <w:r/>
    </w:p>
    <w:p>
      <w:pPr>
        <w:pStyle w:val="762"/>
        <w:ind w:right="141" w:firstLine="540"/>
        <w:jc w:val="both"/>
        <w:tabs>
          <w:tab w:val="clear" w:pos="708" w:leader="none"/>
          <w:tab w:val="left" w:pos="1587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trike w:val="0"/>
          <w:color w:val="000000"/>
        </w:rPr>
        <w:t xml:space="preserve">&lt;**&gt; Заполняется в слу</w:t>
      </w:r>
      <w:r>
        <w:rPr>
          <w:rFonts w:ascii="Liberation Sans" w:hAnsi="Liberation Sans" w:eastAsia="Liberation Serif" w:cs="Liberation Sans"/>
          <w:strike w:val="0"/>
          <w:color w:val="000000"/>
        </w:rPr>
        <w:t xml:space="preserve">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 </w:t>
      </w:r>
      <w:r>
        <w:rPr>
          <w:rFonts w:ascii="Liberation Sans" w:hAnsi="Liberation Sans" w:cs="Liberation Sans"/>
        </w:rPr>
      </w:r>
      <w:r/>
    </w:p>
    <w:p>
      <w:pPr>
        <w:pStyle w:val="762"/>
        <w:ind w:right="115" w:firstLine="540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</w:rPr>
        <w:t xml:space="preserve">&lt;***&gt; Заполняется в случае, если орган регулирования применяет понижающий коэффициент на переходный период в соответствии с 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Правилами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энергии, утвержденными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постановлением Правительства Российской Федерации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от 22 октября 2012 года № 1075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567" w:right="1134" w:bottom="397" w:left="567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Liberation Sans">
    <w:panose1 w:val="020B0604020202020204"/>
  </w:font>
  <w:font w:name="Open Sans">
    <w:panose1 w:val="020B06060305040202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62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763">
    <w:name w:val="Heading 1"/>
    <w:uiPriority w:val="9"/>
    <w:qFormat/>
    <w:pPr>
      <w:jc w:val="left"/>
      <w:keepLines/>
      <w:keepNext/>
      <w:spacing w:before="480" w:after="200"/>
      <w:widowControl/>
      <w:outlineLvl w:val="0"/>
    </w:pPr>
    <w:rPr>
      <w:rFonts w:ascii="Arial" w:hAnsi="Arial" w:eastAsia="Arial" w:cs="Arial"/>
      <w:color w:val="auto"/>
      <w:sz w:val="40"/>
      <w:szCs w:val="40"/>
      <w:lang w:val="ru-RU" w:eastAsia="zh-CN" w:bidi="ar-SA"/>
    </w:rPr>
  </w:style>
  <w:style w:type="paragraph" w:styleId="764">
    <w:name w:val="Heading 2"/>
    <w:uiPriority w:val="9"/>
    <w:unhideWhenUsed/>
    <w:qFormat/>
    <w:pPr>
      <w:jc w:val="left"/>
      <w:keepLines/>
      <w:keepNext/>
      <w:spacing w:before="360" w:after="200"/>
      <w:widowControl/>
      <w:outlineLvl w:val="1"/>
    </w:pPr>
    <w:rPr>
      <w:rFonts w:ascii="Arial" w:hAnsi="Arial" w:eastAsia="Arial" w:cs="Arial"/>
      <w:color w:val="auto"/>
      <w:sz w:val="34"/>
      <w:szCs w:val="20"/>
      <w:lang w:val="ru-RU" w:eastAsia="zh-CN" w:bidi="ar-SA"/>
    </w:rPr>
  </w:style>
  <w:style w:type="paragraph" w:styleId="765">
    <w:name w:val="Heading 3"/>
    <w:uiPriority w:val="9"/>
    <w:unhideWhenUsed/>
    <w:qFormat/>
    <w:pPr>
      <w:jc w:val="left"/>
      <w:keepLines/>
      <w:keepNext/>
      <w:spacing w:before="320" w:after="200"/>
      <w:widowControl/>
      <w:outlineLvl w:val="2"/>
    </w:pPr>
    <w:rPr>
      <w:rFonts w:ascii="Arial" w:hAnsi="Arial" w:eastAsia="Arial" w:cs="Arial"/>
      <w:color w:val="auto"/>
      <w:sz w:val="30"/>
      <w:szCs w:val="30"/>
      <w:lang w:val="ru-RU" w:eastAsia="zh-CN" w:bidi="ar-SA"/>
    </w:rPr>
  </w:style>
  <w:style w:type="paragraph" w:styleId="766">
    <w:name w:val="Heading 4"/>
    <w:basedOn w:val="762"/>
    <w:qFormat/>
    <w:pPr>
      <w:jc w:val="both"/>
      <w:keepNext/>
      <w:outlineLvl w:val="3"/>
    </w:pPr>
    <w:rPr>
      <w:sz w:val="24"/>
      <w:szCs w:val="24"/>
    </w:rPr>
  </w:style>
  <w:style w:type="paragraph" w:styleId="767">
    <w:name w:val="Heading 5"/>
    <w:uiPriority w:val="9"/>
    <w:unhideWhenUsed/>
    <w:qFormat/>
    <w:pPr>
      <w:jc w:val="left"/>
      <w:keepLines/>
      <w:keepNext/>
      <w:spacing w:before="320" w:after="200"/>
      <w:widowControl/>
      <w:outlineLvl w:val="4"/>
    </w:pPr>
    <w:rPr>
      <w:rFonts w:ascii="Arial" w:hAnsi="Arial" w:eastAsia="Arial" w:cs="Arial"/>
      <w:b/>
      <w:bCs/>
      <w:color w:val="auto"/>
      <w:sz w:val="24"/>
      <w:szCs w:val="24"/>
      <w:lang w:val="ru-RU" w:eastAsia="zh-CN" w:bidi="ar-SA"/>
    </w:rPr>
  </w:style>
  <w:style w:type="paragraph" w:styleId="768">
    <w:name w:val="Heading 6"/>
    <w:uiPriority w:val="9"/>
    <w:unhideWhenUsed/>
    <w:qFormat/>
    <w:pPr>
      <w:jc w:val="left"/>
      <w:keepLines/>
      <w:keepNext/>
      <w:spacing w:before="320" w:after="200"/>
      <w:widowControl/>
      <w:outlineLvl w:val="5"/>
    </w:pPr>
    <w:rPr>
      <w:rFonts w:ascii="Arial" w:hAnsi="Arial" w:eastAsia="Arial" w:cs="Arial"/>
      <w:b/>
      <w:bCs/>
      <w:color w:val="auto"/>
      <w:sz w:val="22"/>
      <w:szCs w:val="22"/>
      <w:lang w:val="ru-RU" w:eastAsia="zh-CN" w:bidi="ar-SA"/>
    </w:rPr>
  </w:style>
  <w:style w:type="paragraph" w:styleId="769">
    <w:name w:val="Heading 7"/>
    <w:uiPriority w:val="9"/>
    <w:unhideWhenUsed/>
    <w:qFormat/>
    <w:pPr>
      <w:jc w:val="left"/>
      <w:keepLines/>
      <w:keepNext/>
      <w:spacing w:before="320" w:after="200"/>
      <w:widowControl/>
      <w:outlineLvl w:val="6"/>
    </w:pPr>
    <w:rPr>
      <w:rFonts w:ascii="Arial" w:hAnsi="Arial" w:eastAsia="Arial" w:cs="Arial"/>
      <w:b/>
      <w:bCs/>
      <w:i/>
      <w:iCs/>
      <w:color w:val="auto"/>
      <w:sz w:val="22"/>
      <w:szCs w:val="22"/>
      <w:lang w:val="ru-RU" w:eastAsia="zh-CN" w:bidi="ar-SA"/>
    </w:rPr>
  </w:style>
  <w:style w:type="paragraph" w:styleId="770">
    <w:name w:val="Heading 8"/>
    <w:uiPriority w:val="9"/>
    <w:unhideWhenUsed/>
    <w:qFormat/>
    <w:pPr>
      <w:jc w:val="left"/>
      <w:keepLines/>
      <w:keepNext/>
      <w:spacing w:before="320" w:after="200"/>
      <w:widowControl/>
      <w:outlineLvl w:val="7"/>
    </w:pPr>
    <w:rPr>
      <w:rFonts w:ascii="Arial" w:hAnsi="Arial" w:eastAsia="Arial" w:cs="Arial"/>
      <w:i/>
      <w:iCs/>
      <w:color w:val="auto"/>
      <w:sz w:val="22"/>
      <w:szCs w:val="22"/>
      <w:lang w:val="ru-RU" w:eastAsia="zh-CN" w:bidi="ar-SA"/>
    </w:rPr>
  </w:style>
  <w:style w:type="paragraph" w:styleId="771">
    <w:name w:val="Heading 9"/>
    <w:uiPriority w:val="9"/>
    <w:unhideWhenUsed/>
    <w:qFormat/>
    <w:pPr>
      <w:jc w:val="left"/>
      <w:keepLines/>
      <w:keepNext/>
      <w:spacing w:before="320" w:after="200"/>
      <w:widowControl/>
      <w:outlineLvl w:val="8"/>
    </w:pPr>
    <w:rPr>
      <w:rFonts w:ascii="Arial" w:hAnsi="Arial" w:eastAsia="Arial" w:cs="Arial"/>
      <w:i/>
      <w:iCs/>
      <w:color w:val="auto"/>
      <w:sz w:val="21"/>
      <w:szCs w:val="21"/>
      <w:lang w:val="ru-RU" w:eastAsia="zh-CN" w:bidi="ar-SA"/>
    </w:rPr>
  </w:style>
  <w:style w:type="character" w:styleId="772">
    <w:name w:val="Heading 1 Char"/>
    <w:basedOn w:val="789"/>
    <w:uiPriority w:val="9"/>
    <w:qFormat/>
    <w:rPr>
      <w:rFonts w:ascii="Arial" w:hAnsi="Arial" w:eastAsia="Arial" w:cs="Arial"/>
      <w:sz w:val="40"/>
      <w:szCs w:val="40"/>
    </w:rPr>
  </w:style>
  <w:style w:type="character" w:styleId="773">
    <w:name w:val="Heading 2 Char"/>
    <w:basedOn w:val="789"/>
    <w:uiPriority w:val="9"/>
    <w:qFormat/>
    <w:rPr>
      <w:rFonts w:ascii="Arial" w:hAnsi="Arial" w:eastAsia="Arial" w:cs="Arial"/>
      <w:sz w:val="34"/>
    </w:rPr>
  </w:style>
  <w:style w:type="character" w:styleId="774">
    <w:name w:val="Heading 3 Char"/>
    <w:basedOn w:val="789"/>
    <w:uiPriority w:val="9"/>
    <w:qFormat/>
    <w:rPr>
      <w:rFonts w:ascii="Arial" w:hAnsi="Arial" w:eastAsia="Arial" w:cs="Arial"/>
      <w:sz w:val="30"/>
      <w:szCs w:val="30"/>
    </w:rPr>
  </w:style>
  <w:style w:type="character" w:styleId="775">
    <w:name w:val="Heading 4 Char"/>
    <w:basedOn w:val="78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6">
    <w:name w:val="Heading 5 Char"/>
    <w:basedOn w:val="78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77">
    <w:name w:val="Heading 6 Char"/>
    <w:basedOn w:val="78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8">
    <w:name w:val="Heading 7 Char"/>
    <w:basedOn w:val="78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79">
    <w:name w:val="Heading 8 Char"/>
    <w:basedOn w:val="78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0">
    <w:name w:val="Heading 9 Char"/>
    <w:basedOn w:val="78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1">
    <w:name w:val="Title Char"/>
    <w:basedOn w:val="789"/>
    <w:uiPriority w:val="10"/>
    <w:qFormat/>
    <w:rPr>
      <w:sz w:val="48"/>
      <w:szCs w:val="48"/>
    </w:rPr>
  </w:style>
  <w:style w:type="character" w:styleId="782">
    <w:name w:val="Subtitle Char"/>
    <w:basedOn w:val="789"/>
    <w:uiPriority w:val="11"/>
    <w:qFormat/>
    <w:rPr>
      <w:sz w:val="24"/>
      <w:szCs w:val="24"/>
    </w:rPr>
  </w:style>
  <w:style w:type="character" w:styleId="783">
    <w:name w:val="Quote Char"/>
    <w:uiPriority w:val="29"/>
    <w:qFormat/>
    <w:rPr>
      <w:i/>
    </w:rPr>
  </w:style>
  <w:style w:type="character" w:styleId="784">
    <w:name w:val="Intense Quote Char"/>
    <w:uiPriority w:val="30"/>
    <w:qFormat/>
    <w:rPr>
      <w:i/>
    </w:rPr>
  </w:style>
  <w:style w:type="character" w:styleId="785">
    <w:name w:val="Header Char"/>
    <w:basedOn w:val="789"/>
    <w:uiPriority w:val="99"/>
    <w:qFormat/>
  </w:style>
  <w:style w:type="character" w:styleId="786">
    <w:name w:val="Caption Char"/>
    <w:uiPriority w:val="99"/>
    <w:qFormat/>
  </w:style>
  <w:style w:type="character" w:styleId="787">
    <w:name w:val="Footnote Text Char"/>
    <w:uiPriority w:val="99"/>
    <w:qFormat/>
    <w:rPr>
      <w:sz w:val="18"/>
    </w:rPr>
  </w:style>
  <w:style w:type="character" w:styleId="788">
    <w:name w:val="Endnote Text Char"/>
    <w:uiPriority w:val="99"/>
    <w:qFormat/>
    <w:rPr>
      <w:sz w:val="20"/>
    </w:rPr>
  </w:style>
  <w:style w:type="character" w:styleId="789" w:default="1">
    <w:name w:val="Default Paragraph Font"/>
    <w:uiPriority w:val="1"/>
    <w:semiHidden/>
    <w:unhideWhenUsed/>
    <w:qFormat/>
  </w:style>
  <w:style w:type="character" w:styleId="790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9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92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93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 w:customStyle="1">
    <w:name w:val="Название Знак"/>
    <w:uiPriority w:val="10"/>
    <w:qFormat/>
    <w:rPr>
      <w:sz w:val="48"/>
      <w:szCs w:val="48"/>
    </w:rPr>
  </w:style>
  <w:style w:type="character" w:styleId="800" w:customStyle="1">
    <w:name w:val="Подзаголовок Знак"/>
    <w:uiPriority w:val="11"/>
    <w:qFormat/>
    <w:rPr>
      <w:sz w:val="24"/>
      <w:szCs w:val="24"/>
    </w:rPr>
  </w:style>
  <w:style w:type="character" w:styleId="801" w:customStyle="1">
    <w:name w:val="Цитата 2 Знак"/>
    <w:uiPriority w:val="29"/>
    <w:qFormat/>
    <w:rPr>
      <w:i/>
    </w:rPr>
  </w:style>
  <w:style w:type="character" w:styleId="802" w:customStyle="1">
    <w:name w:val="Выделенная цитата Знак"/>
    <w:uiPriority w:val="30"/>
    <w:qFormat/>
    <w:rPr>
      <w:i/>
    </w:rPr>
  </w:style>
  <w:style w:type="character" w:styleId="803" w:customStyle="1">
    <w:name w:val="Верхний колонтитул Знак"/>
    <w:uiPriority w:val="99"/>
    <w:qFormat/>
  </w:style>
  <w:style w:type="character" w:styleId="804" w:customStyle="1">
    <w:name w:val="Footer Char"/>
    <w:uiPriority w:val="99"/>
    <w:qFormat/>
  </w:style>
  <w:style w:type="character" w:styleId="805" w:customStyle="1">
    <w:name w:val="Нижний колонтитул Знак"/>
    <w:uiPriority w:val="99"/>
    <w:qFormat/>
  </w:style>
  <w:style w:type="character" w:styleId="806">
    <w:name w:val="Hyperlink"/>
    <w:uiPriority w:val="99"/>
    <w:unhideWhenUsed/>
    <w:rPr>
      <w:color w:val="0000ff"/>
      <w:u w:val="single"/>
    </w:rPr>
  </w:style>
  <w:style w:type="character" w:styleId="807" w:customStyle="1">
    <w:name w:val="Текст сноски Знак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 w:customStyle="1">
    <w:name w:val="Текст концевой сноски Знак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 w:customStyle="1">
    <w:name w:val="Основной текст Знак"/>
    <w:qFormat/>
    <w:rPr>
      <w:sz w:val="28"/>
      <w:szCs w:val="28"/>
    </w:rPr>
  </w:style>
  <w:style w:type="character" w:styleId="814" w:customStyle="1">
    <w:name w:val="Основной текст с отступом 2 Знак"/>
    <w:qFormat/>
    <w:rPr>
      <w:sz w:val="28"/>
      <w:szCs w:val="28"/>
    </w:rPr>
  </w:style>
  <w:style w:type="paragraph" w:styleId="815">
    <w:name w:val="Заголовок"/>
    <w:basedOn w:val="762"/>
    <w:next w:val="816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16">
    <w:name w:val="Body Text"/>
    <w:basedOn w:val="762"/>
    <w:pPr>
      <w:spacing w:before="0" w:after="120"/>
    </w:pPr>
    <w:rPr>
      <w:lang w:val="en-US" w:eastAsia="en-US"/>
    </w:rPr>
  </w:style>
  <w:style w:type="paragraph" w:styleId="817">
    <w:name w:val="List"/>
    <w:basedOn w:val="816"/>
    <w:rPr>
      <w:rFonts w:cs="Lohit Devanagari"/>
    </w:rPr>
  </w:style>
  <w:style w:type="paragraph" w:styleId="818">
    <w:name w:val="Caption"/>
    <w:uiPriority w:val="35"/>
    <w:semiHidden/>
    <w:unhideWhenUsed/>
    <w:qFormat/>
    <w:pPr>
      <w:jc w:val="left"/>
      <w:spacing w:before="0" w:after="0" w:line="276" w:lineRule="auto"/>
      <w:widowControl/>
    </w:pPr>
    <w:rPr>
      <w:rFonts w:ascii="Times New Roman" w:hAnsi="Times New Roman" w:eastAsia="Tahoma" w:cs="Lohit Devanagari"/>
      <w:b/>
      <w:bCs/>
      <w:color w:val="4f81bd"/>
      <w:sz w:val="18"/>
      <w:szCs w:val="18"/>
      <w:lang w:val="ru-RU" w:eastAsia="zh-CN" w:bidi="ar-SA"/>
    </w:rPr>
  </w:style>
  <w:style w:type="paragraph" w:styleId="819">
    <w:name w:val="Указатель"/>
    <w:basedOn w:val="762"/>
    <w:qFormat/>
    <w:pPr>
      <w:suppressLineNumbers/>
    </w:pPr>
    <w:rPr>
      <w:rFonts w:cs="Lohit Devanagari"/>
    </w:rPr>
  </w:style>
  <w:style w:type="paragraph" w:styleId="820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2">
    <w:name w:val="Title"/>
    <w:uiPriority w:val="10"/>
    <w:qFormat/>
    <w:pPr>
      <w:contextualSpacing/>
      <w:jc w:val="left"/>
      <w:spacing w:before="300" w:after="200"/>
      <w:widowControl/>
    </w:pPr>
    <w:rPr>
      <w:rFonts w:ascii="Times New Roman" w:hAnsi="Times New Roman" w:eastAsia="Tahoma" w:cs="Lohit Devanagari"/>
      <w:color w:val="auto"/>
      <w:sz w:val="48"/>
      <w:szCs w:val="48"/>
      <w:lang w:val="ru-RU" w:eastAsia="zh-CN" w:bidi="ar-SA"/>
    </w:rPr>
  </w:style>
  <w:style w:type="paragraph" w:styleId="823">
    <w:name w:val="Subtitle"/>
    <w:uiPriority w:val="11"/>
    <w:qFormat/>
    <w:pPr>
      <w:jc w:val="left"/>
      <w:spacing w:before="200" w:after="200"/>
      <w:widowControl/>
    </w:pPr>
    <w:rPr>
      <w:rFonts w:ascii="Times New Roman" w:hAnsi="Times New Roman" w:eastAsia="Tahoma" w:cs="Lohit Devanagari"/>
      <w:color w:val="auto"/>
      <w:sz w:val="24"/>
      <w:szCs w:val="24"/>
      <w:lang w:val="ru-RU" w:eastAsia="zh-CN" w:bidi="ar-SA"/>
    </w:rPr>
  </w:style>
  <w:style w:type="paragraph" w:styleId="824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Times New Roman" w:hAnsi="Times New Roman" w:eastAsia="Tahoma" w:cs="Lohit Devanagari"/>
      <w:i/>
      <w:color w:val="auto"/>
      <w:sz w:val="20"/>
      <w:szCs w:val="20"/>
      <w:lang w:val="ru-RU" w:eastAsia="zh-CN" w:bidi="ar-SA"/>
    </w:rPr>
  </w:style>
  <w:style w:type="paragraph" w:styleId="825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ahoma" w:cs="Lohit Devanagari"/>
      <w:i/>
      <w:color w:val="auto"/>
      <w:sz w:val="20"/>
      <w:szCs w:val="20"/>
      <w:lang w:val="ru-RU" w:eastAsia="zh-CN" w:bidi="ar-SA"/>
    </w:rPr>
  </w:style>
  <w:style w:type="paragraph" w:styleId="826">
    <w:name w:val="Колонтитул"/>
    <w:basedOn w:val="762"/>
    <w:qFormat/>
  </w:style>
  <w:style w:type="paragraph" w:styleId="827">
    <w:name w:val="Header"/>
    <w:uiPriority w:val="99"/>
    <w:unhideWhenUsed/>
    <w:pPr>
      <w:jc w:val="left"/>
      <w:spacing w:before="0" w:after="0"/>
      <w:widowControl/>
      <w:tabs>
        <w:tab w:val="clear" w:pos="708" w:leader="none"/>
        <w:tab w:val="center" w:pos="7143" w:leader="none"/>
        <w:tab w:val="right" w:pos="14287" w:leader="none"/>
      </w:tabs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8">
    <w:name w:val="Footer"/>
    <w:uiPriority w:val="99"/>
    <w:unhideWhenUsed/>
    <w:pPr>
      <w:jc w:val="left"/>
      <w:spacing w:before="0" w:after="0"/>
      <w:widowControl/>
      <w:tabs>
        <w:tab w:val="clear" w:pos="708" w:leader="none"/>
        <w:tab w:val="center" w:pos="7143" w:leader="none"/>
        <w:tab w:val="right" w:pos="14287" w:leader="none"/>
      </w:tabs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9">
    <w:name w:val="footnote text"/>
    <w:uiPriority w:val="99"/>
    <w:semiHidden/>
    <w:unhideWhenUsed/>
    <w:pPr>
      <w:jc w:val="left"/>
      <w:spacing w:before="0" w:after="40"/>
      <w:widowControl/>
    </w:pPr>
    <w:rPr>
      <w:rFonts w:ascii="Times New Roman" w:hAnsi="Times New Roman" w:eastAsia="Tahoma" w:cs="Lohit Devanagari"/>
      <w:color w:val="auto"/>
      <w:sz w:val="18"/>
      <w:szCs w:val="20"/>
      <w:lang w:val="ru-RU" w:eastAsia="zh-CN" w:bidi="ar-SA"/>
    </w:rPr>
  </w:style>
  <w:style w:type="paragraph" w:styleId="830">
    <w:name w:val="endnote text"/>
    <w:uiPriority w:val="99"/>
    <w:semiHidden/>
    <w:unhideWhenUsed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1">
    <w:name w:val="toc 1"/>
    <w:uiPriority w:val="39"/>
    <w:unhideWhenUsed/>
    <w:pPr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2">
    <w:name w:val="toc 2"/>
    <w:uiPriority w:val="39"/>
    <w:unhideWhenUsed/>
    <w:pPr>
      <w:ind w:left="283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3">
    <w:name w:val="toc 3"/>
    <w:uiPriority w:val="39"/>
    <w:unhideWhenUsed/>
    <w:pPr>
      <w:ind w:left="567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4">
    <w:name w:val="toc 4"/>
    <w:uiPriority w:val="39"/>
    <w:unhideWhenUsed/>
    <w:pPr>
      <w:ind w:left="850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5">
    <w:name w:val="toc 5"/>
    <w:uiPriority w:val="39"/>
    <w:unhideWhenUsed/>
    <w:pPr>
      <w:ind w:left="1134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6">
    <w:name w:val="toc 6"/>
    <w:uiPriority w:val="39"/>
    <w:unhideWhenUsed/>
    <w:pPr>
      <w:ind w:left="1417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7">
    <w:name w:val="toc 7"/>
    <w:uiPriority w:val="39"/>
    <w:unhideWhenUsed/>
    <w:pPr>
      <w:ind w:left="1701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8">
    <w:name w:val="toc 8"/>
    <w:uiPriority w:val="39"/>
    <w:unhideWhenUsed/>
    <w:pPr>
      <w:ind w:left="1984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9">
    <w:name w:val="toc 9"/>
    <w:uiPriority w:val="39"/>
    <w:unhideWhenUsed/>
    <w:pPr>
      <w:ind w:left="2268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40">
    <w:name w:val="Index Heading"/>
    <w:basedOn w:val="815"/>
  </w:style>
  <w:style w:type="paragraph" w:styleId="841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42">
    <w:name w:val="table of figures"/>
    <w:uiPriority w:val="9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43">
    <w:name w:val="Balloon Text"/>
    <w:basedOn w:val="762"/>
    <w:semiHidden/>
    <w:qFormat/>
    <w:rPr>
      <w:rFonts w:ascii="Tahoma" w:hAnsi="Tahoma"/>
      <w:sz w:val="16"/>
      <w:szCs w:val="16"/>
    </w:rPr>
  </w:style>
  <w:style w:type="paragraph" w:styleId="844">
    <w:name w:val="Body Text Indent"/>
    <w:basedOn w:val="762"/>
    <w:pPr>
      <w:ind w:firstLine="708"/>
      <w:jc w:val="both"/>
    </w:pPr>
    <w:rPr>
      <w:sz w:val="24"/>
      <w:szCs w:val="24"/>
    </w:rPr>
  </w:style>
  <w:style w:type="paragraph" w:styleId="845" w:customStyle="1">
    <w:name w:val="Знак Знак Знак Знак"/>
    <w:basedOn w:val="762"/>
    <w:qFormat/>
    <w:pPr>
      <w:jc w:val="both"/>
      <w:spacing w:beforeAutospacing="1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6" w:customStyle="1">
    <w:name w:val="ConsPlusNormal"/>
    <w:qFormat/>
    <w:pPr>
      <w:ind w:firstLine="720"/>
      <w:jc w:val="left"/>
      <w:spacing w:before="0" w:after="0"/>
      <w:widowControl/>
    </w:pPr>
    <w:rPr>
      <w:rFonts w:ascii="Arial" w:hAnsi="Arial" w:eastAsia="Tahoma" w:cs="Lohit Devanagari"/>
      <w:color w:val="auto"/>
      <w:sz w:val="20"/>
      <w:szCs w:val="20"/>
      <w:lang w:val="ru-RU" w:eastAsia="ru-RU" w:bidi="ar-SA"/>
    </w:rPr>
  </w:style>
  <w:style w:type="paragraph" w:styleId="847" w:customStyle="1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ahoma" w:cs="Lohit Devanagari"/>
      <w:b/>
      <w:bCs/>
      <w:color w:val="auto"/>
      <w:sz w:val="24"/>
      <w:szCs w:val="24"/>
      <w:lang w:val="ru-RU" w:eastAsia="ru-RU" w:bidi="ar-SA"/>
    </w:rPr>
  </w:style>
  <w:style w:type="paragraph" w:styleId="848" w:customStyle="1">
    <w:name w:val="ConsPlusCell"/>
    <w:qFormat/>
    <w:pPr>
      <w:jc w:val="left"/>
      <w:spacing w:before="0" w:after="0"/>
      <w:widowControl w:val="off"/>
    </w:pPr>
    <w:rPr>
      <w:rFonts w:ascii="Arial" w:hAnsi="Arial" w:eastAsia="Tahoma" w:cs="Lohit Devanagari"/>
      <w:color w:val="auto"/>
      <w:sz w:val="20"/>
      <w:szCs w:val="20"/>
      <w:lang w:val="ru-RU" w:eastAsia="ru-RU" w:bidi="ar-SA"/>
    </w:rPr>
  </w:style>
  <w:style w:type="paragraph" w:styleId="849">
    <w:name w:val="Body Text Indent 2"/>
    <w:basedOn w:val="762"/>
    <w:qFormat/>
    <w:pPr>
      <w:ind w:left="283" w:firstLine="0"/>
      <w:spacing w:before="0" w:after="120" w:line="480" w:lineRule="auto"/>
    </w:pPr>
    <w:rPr>
      <w:lang w:val="en-US" w:eastAsia="en-US"/>
    </w:rPr>
  </w:style>
  <w:style w:type="paragraph" w:styleId="850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Lohit Devanagari"/>
      <w:color w:val="auto"/>
      <w:sz w:val="20"/>
      <w:szCs w:val="20"/>
      <w:lang w:val="ru-RU" w:eastAsia="ru-RU" w:bidi="ar-SA"/>
    </w:rPr>
  </w:style>
  <w:style w:type="paragraph" w:styleId="851" w:customStyle="1">
    <w:name w:val="Обычный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</w:rPr>
  </w:style>
  <w:style w:type="paragraph" w:styleId="852" w:customStyle="1">
    <w:name w:val="Основной текст с отступом 2"/>
    <w:basedOn w:val="851"/>
    <w:qFormat/>
    <w:pPr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u w:val="none"/>
      <w:vertAlign w:val="baseline"/>
      <w:lang w:val="en-US" w:eastAsia="en-US" w:bidi="ar-SA"/>
    </w:rPr>
  </w:style>
  <w:style w:type="numbering" w:styleId="853" w:default="1">
    <w:name w:val="No List"/>
    <w:uiPriority w:val="99"/>
    <w:semiHidden/>
    <w:unhideWhenUsed/>
    <w:qFormat/>
  </w:style>
  <w:style w:type="table" w:styleId="8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consultantplus://offline/ref=365AED68EC0A6655463CE1D1A489055AE601029C57B406C19C50D6866798E59Dd1E3K" TargetMode="External"/><Relationship Id="rId10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1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2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3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4" Type="http://schemas.openxmlformats.org/officeDocument/2006/relationships/hyperlink" Target="consultantplus://offline/ref=BC4FDCB53AB2EC8B14B6B3AE8120CF99E618AD28C81A94C69A1C057EC095CEE9BB73B2CF9B88F0D7DA4765HEQ0F" TargetMode="External"/><Relationship Id="rId15" Type="http://schemas.openxmlformats.org/officeDocument/2006/relationships/hyperlink" Target="consultantplus://offline/ref=BC4FDCB53AB2EC8B14B6B3AE8120CF99E618AD28C81A94C69A1C057EC095CEE9BB73B2CF9B88F0D7DA4765HEQFF" TargetMode="External"/><Relationship Id="rId16" Type="http://schemas.openxmlformats.org/officeDocument/2006/relationships/hyperlink" Target="consultantplus://offline/ref=BC4FDCB53AB2EC8B14B6ADA3974C9894E114F221CB1B9993C6435E23979CC4BEFC3CEB8DDF85F5D1HDQDF" TargetMode="External"/><Relationship Id="rId17" Type="http://schemas.openxmlformats.org/officeDocument/2006/relationships/hyperlink" Target="consultantplus://offline/ref=BAC628E224D104ADC519E838DD6802799E906B6AF1B1178872109DEC959B4181D604DD937B489E61E41B1710DD178E70897D8832B865C52DA42DF8DEN3O7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41</cp:revision>
  <dcterms:created xsi:type="dcterms:W3CDTF">2022-11-18T06:50:00Z</dcterms:created>
  <dcterms:modified xsi:type="dcterms:W3CDTF">2023-12-18T12:16:35Z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